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20" w:lineRule="exact"/>
        <w:jc w:val="left"/>
        <w:textAlignment w:val="auto"/>
        <w:rPr>
          <w:rFonts w:hint="eastAsia" w:ascii="方正黑体_GBK" w:hAnsi="方正黑体_GBK" w:eastAsia="方正黑体_GBK" w:cs="方正黑体_GBK"/>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default" w:ascii="Times New Roman" w:hAnsi="Times New Roman" w:eastAsia="仿宋" w:cs="Times New Roman"/>
          <w:color w:val="auto"/>
          <w:sz w:val="32"/>
          <w:szCs w:val="32"/>
          <w:lang w:bidi="ar"/>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default" w:ascii="Times New Roman" w:hAnsi="Times New Roman" w:eastAsia="仿宋"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default" w:ascii="Times New Roman" w:hAnsi="Times New Roman" w:eastAsia="仿宋"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Times New Roman" w:hAnsi="Times New Roman" w:eastAsia="仿宋" w:cs="Times New Roman"/>
          <w:color w:val="auto"/>
          <w:sz w:val="32"/>
          <w:szCs w:val="32"/>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20" w:lineRule="exact"/>
        <w:ind w:left="0" w:right="0"/>
        <w:jc w:val="center"/>
        <w:textAlignment w:val="auto"/>
        <w:outlineLvl w:val="0"/>
        <w:rPr>
          <w:rFonts w:hint="default" w:ascii="Times New Roman" w:hAnsi="Times New Roman" w:eastAsia="仿宋" w:cs="Times New Roman"/>
          <w:color w:val="auto"/>
          <w:spacing w:val="0"/>
          <w:position w:val="0"/>
          <w:sz w:val="32"/>
          <w:szCs w:val="32"/>
          <w:shd w:val="clear" w:color="auto" w:fill="auto"/>
          <w:lang w:eastAsia="zh-CN"/>
        </w:rPr>
      </w:pPr>
      <w:r>
        <w:rPr>
          <w:rFonts w:hint="default" w:ascii="Times New Roman" w:hAnsi="Times New Roman" w:eastAsia="仿宋" w:cs="Times New Roman"/>
          <w:color w:val="auto"/>
          <w:sz w:val="32"/>
          <w:szCs w:val="32"/>
        </w:rPr>
        <w:t>惠</w:t>
      </w:r>
      <w:r>
        <w:rPr>
          <w:rFonts w:hint="default" w:ascii="Times New Roman" w:hAnsi="Times New Roman" w:eastAsia="仿宋" w:cs="Times New Roman"/>
          <w:color w:val="auto"/>
          <w:sz w:val="32"/>
          <w:szCs w:val="32"/>
          <w:lang w:eastAsia="zh-CN"/>
        </w:rPr>
        <w:t>医保发</w:t>
      </w:r>
      <w:r>
        <w:rPr>
          <w:rFonts w:hint="default" w:ascii="Times New Roman" w:hAnsi="Times New Roman" w:eastAsia="仿宋" w:cs="Times New Roman"/>
          <w:color w:val="auto"/>
          <w:sz w:val="32"/>
          <w:szCs w:val="32"/>
        </w:rPr>
        <w:t>〔20</w:t>
      </w:r>
      <w:r>
        <w:rPr>
          <w:rFonts w:hint="default" w:ascii="Times New Roman" w:hAnsi="Times New Roman" w:eastAsia="仿宋" w:cs="Times New Roman"/>
          <w:color w:val="auto"/>
          <w:sz w:val="32"/>
          <w:szCs w:val="32"/>
          <w:lang w:val="en-US" w:eastAsia="zh-CN"/>
        </w:rPr>
        <w:t>2</w:t>
      </w:r>
      <w:r>
        <w:rPr>
          <w:rFonts w:hint="eastAsia" w:eastAsia="仿宋" w:cs="Times New Roman"/>
          <w:color w:val="auto"/>
          <w:sz w:val="32"/>
          <w:szCs w:val="32"/>
          <w:lang w:val="en-US" w:eastAsia="zh-CN"/>
        </w:rPr>
        <w:t>6</w:t>
      </w:r>
      <w:r>
        <w:rPr>
          <w:rFonts w:hint="default" w:ascii="Times New Roman" w:hAnsi="Times New Roman" w:eastAsia="仿宋" w:cs="Times New Roman"/>
          <w:color w:val="auto"/>
          <w:sz w:val="32"/>
          <w:szCs w:val="32"/>
        </w:rPr>
        <w:t>〕</w:t>
      </w:r>
      <w:r>
        <w:rPr>
          <w:rFonts w:hint="eastAsia" w:eastAsia="仿宋" w:cs="Times New Roman"/>
          <w:color w:val="auto"/>
          <w:sz w:val="32"/>
          <w:szCs w:val="32"/>
          <w:lang w:val="en-US" w:eastAsia="zh-CN"/>
        </w:rPr>
        <w:t>6</w:t>
      </w:r>
      <w:r>
        <w:rPr>
          <w:rFonts w:hint="default" w:ascii="Times New Roman" w:hAnsi="Times New Roman" w:eastAsia="仿宋" w:cs="Times New Roman"/>
          <w:color w:val="auto"/>
          <w:sz w:val="32"/>
          <w:szCs w:val="32"/>
        </w:rPr>
        <w:t>号</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仿宋"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color w:val="auto"/>
          <w:sz w:val="44"/>
          <w:szCs w:val="52"/>
          <w:lang w:val="en-US" w:eastAsia="zh-CN"/>
        </w:rPr>
        <w:t>惠州市</w:t>
      </w:r>
      <w:r>
        <w:rPr>
          <w:rFonts w:hint="eastAsia" w:ascii="方正小标宋_GBK" w:hAnsi="方正小标宋_GBK" w:eastAsia="方正小标宋_GBK" w:cs="方正小标宋_GBK"/>
          <w:color w:val="auto"/>
          <w:sz w:val="44"/>
          <w:szCs w:val="52"/>
        </w:rPr>
        <w:t>医疗保障局关于</w:t>
      </w:r>
      <w:r>
        <w:rPr>
          <w:rFonts w:hint="eastAsia" w:ascii="方正小标宋_GBK" w:hAnsi="方正小标宋_GBK" w:eastAsia="方正小标宋_GBK" w:cs="方正小标宋_GBK"/>
          <w:color w:val="auto"/>
          <w:sz w:val="44"/>
          <w:szCs w:val="52"/>
          <w:lang w:eastAsia="zh-CN"/>
        </w:rPr>
        <w:t>公布</w:t>
      </w:r>
      <w:r>
        <w:rPr>
          <w:rFonts w:hint="eastAsia" w:ascii="方正小标宋_GBK" w:hAnsi="方正小标宋_GBK" w:eastAsia="方正小标宋_GBK" w:cs="方正小标宋_GBK"/>
          <w:sz w:val="44"/>
          <w:szCs w:val="44"/>
          <w:lang w:val="en-US" w:eastAsia="zh-CN"/>
        </w:rPr>
        <w:t>综合诊查类</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_GBK" w:hAnsi="方正小标宋_GBK" w:eastAsia="方正小标宋_GBK" w:cs="方正小标宋_GBK"/>
          <w:color w:val="auto"/>
          <w:sz w:val="44"/>
          <w:szCs w:val="52"/>
        </w:rPr>
      </w:pPr>
      <w:r>
        <w:rPr>
          <w:rFonts w:hint="eastAsia" w:ascii="方正小标宋_GBK" w:hAnsi="方正小标宋_GBK" w:eastAsia="方正小标宋_GBK" w:cs="方正小标宋_GBK"/>
          <w:sz w:val="44"/>
          <w:szCs w:val="44"/>
          <w:lang w:val="en-US" w:eastAsia="zh-CN"/>
        </w:rPr>
        <w:t>医疗服务项目价格和相关支付政策</w:t>
      </w:r>
      <w:r>
        <w:rPr>
          <w:rFonts w:hint="eastAsia" w:ascii="方正小标宋_GBK" w:hAnsi="方正小标宋_GBK" w:eastAsia="方正小标宋_GBK" w:cs="方正小标宋_GBK"/>
          <w:color w:val="auto"/>
          <w:sz w:val="44"/>
          <w:szCs w:val="52"/>
        </w:rPr>
        <w:t>的通知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方正仿宋_GBK" w:cs="方正仿宋_GBK"/>
          <w:sz w:val="32"/>
          <w:szCs w:val="32"/>
          <w:lang w:eastAsia="zh-CN"/>
        </w:rPr>
      </w:pPr>
    </w:p>
    <w:p>
      <w:pPr>
        <w:keepNext w:val="0"/>
        <w:keepLines w:val="0"/>
        <w:pageBreakBefore w:val="0"/>
        <w:widowControl w:val="0"/>
        <w:kinsoku/>
        <w:wordWrap/>
        <w:overflowPunct/>
        <w:topLinePunct w:val="0"/>
        <w:bidi w:val="0"/>
        <w:snapToGrid/>
        <w:spacing w:line="560" w:lineRule="exact"/>
        <w:textAlignment w:val="auto"/>
        <w:rPr>
          <w:rFonts w:hint="eastAsia" w:ascii="Times New Roman" w:hAnsi="Times New Roman" w:eastAsia="方正仿宋_GBK" w:cs="方正仿宋_GBK"/>
          <w:sz w:val="32"/>
          <w:szCs w:val="32"/>
          <w:lang w:eastAsia="zh-CN"/>
        </w:rPr>
      </w:pPr>
      <w:r>
        <w:rPr>
          <w:rFonts w:hint="eastAsia" w:ascii="Times New Roman" w:hAnsi="Times New Roman" w:eastAsia="方正仿宋_GBK" w:cs="方正仿宋_GBK"/>
          <w:sz w:val="32"/>
          <w:szCs w:val="32"/>
          <w:lang w:eastAsia="zh-CN"/>
        </w:rPr>
        <w:t>各县（区）</w:t>
      </w:r>
      <w:r>
        <w:rPr>
          <w:rFonts w:hint="eastAsia" w:ascii="Times New Roman" w:hAnsi="Times New Roman" w:eastAsia="方正仿宋_GBK" w:cs="方正仿宋_GBK"/>
          <w:sz w:val="32"/>
          <w:szCs w:val="32"/>
          <w:lang w:val="en-US" w:eastAsia="zh-CN"/>
        </w:rPr>
        <w:t>医疗保障</w:t>
      </w:r>
      <w:r>
        <w:rPr>
          <w:rFonts w:hint="eastAsia" w:ascii="Times New Roman" w:hAnsi="Times New Roman" w:eastAsia="方正仿宋_GBK" w:cs="方正仿宋_GBK"/>
          <w:sz w:val="32"/>
          <w:szCs w:val="32"/>
          <w:lang w:eastAsia="zh-CN"/>
        </w:rPr>
        <w:t>局，</w:t>
      </w:r>
      <w:r>
        <w:rPr>
          <w:rFonts w:hint="eastAsia" w:ascii="Times New Roman" w:hAnsi="Times New Roman" w:eastAsia="方正仿宋_GBK" w:cs="方正仿宋_GBK"/>
          <w:sz w:val="32"/>
          <w:szCs w:val="32"/>
          <w:lang w:val="en-US" w:eastAsia="zh-CN"/>
        </w:rPr>
        <w:t>惠东县人力资源和社会保障局，</w:t>
      </w:r>
      <w:r>
        <w:rPr>
          <w:rFonts w:hint="eastAsia" w:ascii="Times New Roman" w:hAnsi="Times New Roman" w:eastAsia="方正仿宋_GBK" w:cs="方正仿宋_GBK"/>
          <w:sz w:val="32"/>
          <w:szCs w:val="32"/>
          <w:lang w:eastAsia="zh-CN"/>
        </w:rPr>
        <w:t>大亚湾、仲恺区</w:t>
      </w:r>
      <w:r>
        <w:rPr>
          <w:rFonts w:hint="eastAsia" w:ascii="Times New Roman" w:hAnsi="Times New Roman" w:eastAsia="方正仿宋_GBK" w:cs="方正仿宋_GBK"/>
          <w:sz w:val="32"/>
          <w:szCs w:val="32"/>
          <w:lang w:val="en-US" w:eastAsia="zh-CN"/>
        </w:rPr>
        <w:t>教育文化卫生健康</w:t>
      </w:r>
      <w:r>
        <w:rPr>
          <w:rFonts w:hint="eastAsia" w:ascii="Times New Roman" w:hAnsi="Times New Roman" w:eastAsia="方正仿宋_GBK" w:cs="方正仿宋_GBK"/>
          <w:sz w:val="32"/>
          <w:szCs w:val="32"/>
          <w:lang w:eastAsia="zh-CN"/>
        </w:rPr>
        <w:t>局，市</w:t>
      </w:r>
      <w:r>
        <w:rPr>
          <w:rFonts w:hint="eastAsia" w:ascii="Times New Roman" w:hAnsi="Times New Roman" w:eastAsia="方正仿宋_GBK" w:cs="方正仿宋_GBK"/>
          <w:sz w:val="32"/>
          <w:szCs w:val="32"/>
          <w:lang w:val="en-US" w:eastAsia="zh-CN"/>
        </w:rPr>
        <w:t>医保中心</w:t>
      </w: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lang w:val="en-US" w:eastAsia="zh-CN"/>
        </w:rPr>
        <w:t>市社保局大亚湾、仲恺分局，</w:t>
      </w:r>
      <w:r>
        <w:rPr>
          <w:rFonts w:hint="eastAsia" w:ascii="Times New Roman" w:hAnsi="Times New Roman" w:eastAsia="方正仿宋_GBK" w:cs="方正仿宋_GBK"/>
          <w:sz w:val="32"/>
          <w:szCs w:val="32"/>
          <w:lang w:eastAsia="zh-CN"/>
        </w:rPr>
        <w:t>各有关医疗机构：</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rPr>
        <w:t>为贯彻落实</w:t>
      </w:r>
      <w:r>
        <w:rPr>
          <w:rFonts w:hint="eastAsia" w:ascii="Times New Roman" w:hAnsi="Times New Roman" w:eastAsia="方正仿宋_GBK" w:cs="方正仿宋_GBK"/>
          <w:sz w:val="32"/>
          <w:szCs w:val="32"/>
          <w:lang w:val="en-US" w:eastAsia="zh-CN"/>
        </w:rPr>
        <w:t>《广东省医疗保障局关于公布综合诊查类医疗服务价格项目的通知》（</w:t>
      </w:r>
      <w:r>
        <w:rPr>
          <w:rFonts w:hint="eastAsia" w:ascii="Times New Roman" w:hAnsi="Times New Roman" w:eastAsia="方正仿宋_GBK" w:cs="方正仿宋_GBK"/>
          <w:sz w:val="32"/>
          <w:szCs w:val="32"/>
        </w:rPr>
        <w:t>粤医保发〔202</w:t>
      </w:r>
      <w:r>
        <w:rPr>
          <w:rFonts w:hint="eastAsia" w:ascii="Times New Roman" w:hAnsi="Times New Roman" w:eastAsia="方正仿宋_GBK" w:cs="方正仿宋_GBK"/>
          <w:sz w:val="32"/>
          <w:szCs w:val="32"/>
          <w:lang w:val="en-US" w:eastAsia="zh-CN"/>
        </w:rPr>
        <w:t>5</w:t>
      </w:r>
      <w:r>
        <w:rPr>
          <w:rFonts w:hint="eastAsia" w:ascii="Times New Roman" w:hAnsi="Times New Roman" w:eastAsia="方正仿宋_GBK" w:cs="方正仿宋_GBK"/>
          <w:sz w:val="32"/>
          <w:szCs w:val="32"/>
        </w:rPr>
        <w:t>〕</w:t>
      </w:r>
      <w:r>
        <w:rPr>
          <w:rFonts w:hint="eastAsia" w:ascii="Times New Roman" w:hAnsi="Times New Roman" w:eastAsia="方正仿宋_GBK" w:cs="方正仿宋_GBK"/>
          <w:sz w:val="32"/>
          <w:szCs w:val="32"/>
          <w:lang w:val="en-US" w:eastAsia="zh-CN"/>
        </w:rPr>
        <w:t>36</w:t>
      </w:r>
      <w:r>
        <w:rPr>
          <w:rFonts w:hint="eastAsia" w:ascii="Times New Roman" w:hAnsi="Times New Roman" w:eastAsia="方正仿宋_GBK" w:cs="方正仿宋_GBK"/>
          <w:sz w:val="32"/>
          <w:szCs w:val="32"/>
        </w:rPr>
        <w:t>号</w:t>
      </w:r>
      <w:r>
        <w:rPr>
          <w:rFonts w:hint="eastAsia" w:ascii="Times New Roman" w:hAnsi="Times New Roman" w:eastAsia="方正仿宋_GBK" w:cs="方正仿宋_GBK"/>
          <w:sz w:val="32"/>
          <w:szCs w:val="32"/>
          <w:lang w:val="en-US" w:eastAsia="zh-CN"/>
        </w:rPr>
        <w:t>）</w:t>
      </w:r>
      <w:r>
        <w:rPr>
          <w:rFonts w:hint="eastAsia" w:ascii="Times New Roman" w:hAnsi="Times New Roman" w:eastAsia="方正仿宋_GBK" w:cs="方正仿宋_GBK"/>
          <w:sz w:val="32"/>
          <w:szCs w:val="32"/>
          <w:lang w:eastAsia="zh-CN"/>
        </w:rPr>
        <w:t>要求，结合我市实际</w:t>
      </w:r>
      <w:r>
        <w:rPr>
          <w:rFonts w:hint="eastAsia" w:ascii="Times New Roman" w:hAnsi="Times New Roman" w:eastAsia="方正仿宋_GBK" w:cs="方正仿宋_GBK"/>
          <w:sz w:val="32"/>
          <w:szCs w:val="32"/>
          <w:lang w:val="en-US" w:eastAsia="zh-CN"/>
        </w:rPr>
        <w:t>，我局制定了惠州市综合诊查</w:t>
      </w:r>
      <w:r>
        <w:rPr>
          <w:rFonts w:hint="eastAsia" w:ascii="Times New Roman" w:hAnsi="Times New Roman" w:eastAsia="方正仿宋_GBK" w:cs="方正仿宋_GBK"/>
          <w:sz w:val="32"/>
          <w:szCs w:val="32"/>
        </w:rPr>
        <w:t>类医疗服务</w:t>
      </w:r>
      <w:r>
        <w:rPr>
          <w:rFonts w:hint="eastAsia" w:ascii="Times New Roman" w:hAnsi="Times New Roman" w:eastAsia="方正仿宋_GBK" w:cs="方正仿宋_GBK"/>
          <w:sz w:val="32"/>
          <w:szCs w:val="32"/>
          <w:lang w:val="en-US" w:eastAsia="zh-CN"/>
        </w:rPr>
        <w:t>价格</w:t>
      </w:r>
      <w:r>
        <w:rPr>
          <w:rFonts w:hint="eastAsia" w:ascii="Times New Roman" w:hAnsi="Times New Roman" w:eastAsia="方正仿宋_GBK" w:cs="方正仿宋_GBK"/>
          <w:sz w:val="32"/>
          <w:szCs w:val="32"/>
        </w:rPr>
        <w:t>项目</w:t>
      </w:r>
      <w:r>
        <w:rPr>
          <w:rFonts w:hint="eastAsia" w:ascii="Times New Roman" w:hAnsi="Times New Roman" w:eastAsia="方正仿宋_GBK" w:cs="方正仿宋_GBK"/>
          <w:sz w:val="32"/>
          <w:szCs w:val="32"/>
          <w:lang w:val="en-US" w:eastAsia="zh-CN"/>
        </w:rPr>
        <w:t>的价格，现予以公布并就有关事项通知如下：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方正仿宋_GBK" w:cs="方正仿宋_GBK"/>
          <w:sz w:val="32"/>
          <w:szCs w:val="32"/>
          <w:lang w:eastAsia="zh-CN"/>
        </w:rPr>
      </w:pPr>
      <w:r>
        <w:rPr>
          <w:rFonts w:hint="eastAsia" w:ascii="Times New Roman" w:hAnsi="Times New Roman" w:eastAsia="方正仿宋_GBK" w:cs="方正仿宋_GBK"/>
          <w:sz w:val="32"/>
          <w:szCs w:val="32"/>
          <w:lang w:val="en-US" w:eastAsia="zh-CN"/>
        </w:rPr>
        <w:t xml:space="preserve">   </w:t>
      </w:r>
      <w:r>
        <w:rPr>
          <w:rFonts w:hint="eastAsia" w:ascii="方正黑体_GBK" w:hAnsi="方正黑体_GBK" w:eastAsia="方正黑体_GBK" w:cs="方正黑体_GBK"/>
          <w:sz w:val="32"/>
          <w:szCs w:val="32"/>
          <w:lang w:val="en-US" w:eastAsia="zh-CN"/>
        </w:rPr>
        <w:t xml:space="preserve"> 一、规范整合综合诊查类医疗服务价格项目</w:t>
      </w:r>
    </w:p>
    <w:p>
      <w:pPr>
        <w:keepNext w:val="0"/>
        <w:keepLines w:val="0"/>
        <w:pageBreakBefore w:val="0"/>
        <w:widowControl w:val="0"/>
        <w:kinsoku/>
        <w:wordWrap/>
        <w:overflowPunct/>
        <w:topLinePunct w:val="0"/>
        <w:autoSpaceDE/>
        <w:autoSpaceDN/>
        <w:bidi w:val="0"/>
        <w:adjustRightInd/>
        <w:snapToGrid/>
        <w:spacing w:line="530" w:lineRule="exact"/>
        <w:ind w:firstLine="640"/>
        <w:textAlignment w:val="auto"/>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按照省医保局的相关通知要求，公布综合诊查类项目35项及各加（减）收、扩展项目（详见附件1），航空医疗转运已单独发文执行。将除基本物质资源消耗以外的，属于立项指南落地前执行的医疗服务价格项目除外内容的一次性使用耗材等，整理为可收费一次性使用医用耗材清单（详见附件2）。同步废止现行“基层医疗卫生机构一般诊疗费”等医疗服务价格项目96项（详见附件3）。</w:t>
      </w:r>
    </w:p>
    <w:p>
      <w:pPr>
        <w:keepNext w:val="0"/>
        <w:keepLines w:val="0"/>
        <w:pageBreakBefore w:val="0"/>
        <w:widowControl w:val="0"/>
        <w:kinsoku/>
        <w:wordWrap/>
        <w:overflowPunct/>
        <w:topLinePunct w:val="0"/>
        <w:autoSpaceDE/>
        <w:autoSpaceDN/>
        <w:bidi w:val="0"/>
        <w:adjustRightInd/>
        <w:snapToGrid/>
        <w:spacing w:line="530" w:lineRule="exact"/>
        <w:ind w:firstLine="640"/>
        <w:textAlignment w:val="auto"/>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基层医疗卫生机构为患者提供技术劳务的诊疗服务按“一般诊疗费”收取，不能收取各类“门诊诊查费”。公立医疗机构开展综合诊查类医疗服务均按整合后项目与耗材清单收费，不得选用其他医疗服务价格项目进行收费。</w:t>
      </w:r>
    </w:p>
    <w:p>
      <w:pPr>
        <w:keepNext w:val="0"/>
        <w:keepLines w:val="0"/>
        <w:pageBreakBefore w:val="0"/>
        <w:widowControl w:val="0"/>
        <w:kinsoku/>
        <w:wordWrap/>
        <w:overflowPunct/>
        <w:topLinePunct w:val="0"/>
        <w:autoSpaceDE/>
        <w:autoSpaceDN/>
        <w:bidi w:val="0"/>
        <w:adjustRightInd/>
        <w:snapToGrid/>
        <w:spacing w:line="530" w:lineRule="exact"/>
        <w:ind w:firstLine="64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二、制定综合诊查类医疗服务价格项目价格</w:t>
      </w:r>
    </w:p>
    <w:p>
      <w:pPr>
        <w:keepNext w:val="0"/>
        <w:keepLines w:val="0"/>
        <w:pageBreakBefore w:val="0"/>
        <w:widowControl w:val="0"/>
        <w:kinsoku/>
        <w:wordWrap/>
        <w:overflowPunct/>
        <w:topLinePunct w:val="0"/>
        <w:autoSpaceDE/>
        <w:autoSpaceDN/>
        <w:bidi w:val="0"/>
        <w:adjustRightInd/>
        <w:snapToGrid/>
        <w:spacing w:line="530" w:lineRule="exact"/>
        <w:ind w:firstLine="640"/>
        <w:textAlignment w:val="auto"/>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在省规定的范围内，综合考虑地区经济发展水平（人均GDP）、城镇单位就业人员平均工资、医疗服务质量、患者负担水平、次均费用增幅、地方财政补贴、区域价格比较、基金结余等情况，制定了我市综合诊查</w:t>
      </w:r>
      <w:r>
        <w:rPr>
          <w:rFonts w:hint="eastAsia" w:ascii="Times New Roman" w:hAnsi="Times New Roman" w:eastAsia="方正仿宋_GBK" w:cs="方正仿宋_GBK"/>
          <w:sz w:val="32"/>
          <w:szCs w:val="32"/>
        </w:rPr>
        <w:t>类</w:t>
      </w:r>
      <w:r>
        <w:rPr>
          <w:rFonts w:hint="eastAsia" w:ascii="Times New Roman" w:hAnsi="Times New Roman" w:eastAsia="方正仿宋_GBK" w:cs="方正仿宋_GBK"/>
          <w:sz w:val="32"/>
          <w:szCs w:val="32"/>
          <w:lang w:val="en-US" w:eastAsia="zh-CN"/>
        </w:rPr>
        <w:t>医疗服务价格项目的政府指导价（详见附件1）。我市各公立医疗机构可根据成本变化等实际情况自主下浮价格，下浮幅度不限，不得上浮。</w:t>
      </w:r>
    </w:p>
    <w:p>
      <w:pPr>
        <w:keepNext w:val="0"/>
        <w:keepLines w:val="0"/>
        <w:pageBreakBefore w:val="0"/>
        <w:widowControl w:val="0"/>
        <w:kinsoku/>
        <w:wordWrap/>
        <w:overflowPunct/>
        <w:topLinePunct w:val="0"/>
        <w:bidi w:val="0"/>
        <w:snapToGrid/>
        <w:spacing w:line="530" w:lineRule="exact"/>
        <w:ind w:firstLine="640" w:firstLineChars="0"/>
        <w:textAlignment w:val="auto"/>
        <w:rPr>
          <w:rFonts w:hint="eastAsia" w:ascii="Times New Roman" w:hAnsi="Times New Roman" w:eastAsia="方正仿宋_GBK" w:cs="方正仿宋_GBK"/>
          <w:color w:val="auto"/>
          <w:kern w:val="2"/>
          <w:sz w:val="32"/>
          <w:szCs w:val="32"/>
          <w:lang w:val="en-US" w:eastAsia="zh-CN" w:bidi="ar-SA"/>
        </w:rPr>
      </w:pPr>
      <w:r>
        <w:rPr>
          <w:rFonts w:hint="eastAsia" w:ascii="Times New Roman" w:hAnsi="Times New Roman" w:eastAsia="方正仿宋_GBK" w:cs="方正仿宋_GBK"/>
          <w:sz w:val="32"/>
          <w:szCs w:val="32"/>
          <w:lang w:val="en-US" w:eastAsia="zh-CN"/>
        </w:rPr>
        <w:t>对多学科诊疗费、远程会诊费、单人床位费、上门服务费和跨境转运救护车费等项目实行市场调节价，由医疗机构遵循公开透明、合法合理、诚实信用的原则自主制定价格，并向市级医保部门备案。</w:t>
      </w:r>
    </w:p>
    <w:p>
      <w:pPr>
        <w:keepNext w:val="0"/>
        <w:keepLines w:val="0"/>
        <w:pageBreakBefore w:val="0"/>
        <w:widowControl w:val="0"/>
        <w:kinsoku/>
        <w:wordWrap/>
        <w:overflowPunct/>
        <w:topLinePunct w:val="0"/>
        <w:bidi w:val="0"/>
        <w:snapToGrid/>
        <w:spacing w:line="530" w:lineRule="exact"/>
        <w:ind w:firstLine="640" w:firstLineChars="200"/>
        <w:textAlignment w:val="auto"/>
        <w:rPr>
          <w:rFonts w:hint="eastAsia" w:ascii="方正黑体_GBK" w:hAnsi="方正黑体_GBK" w:eastAsia="方正黑体_GBK" w:cs="方正黑体_GBK"/>
          <w:color w:val="auto"/>
          <w:kern w:val="2"/>
          <w:sz w:val="32"/>
          <w:szCs w:val="32"/>
          <w:lang w:val="en-US" w:eastAsia="zh-CN" w:bidi="ar-SA"/>
        </w:rPr>
      </w:pPr>
      <w:r>
        <w:rPr>
          <w:rFonts w:hint="eastAsia" w:ascii="方正黑体_GBK" w:hAnsi="方正黑体_GBK" w:eastAsia="方正黑体_GBK" w:cs="方正黑体_GBK"/>
          <w:color w:val="auto"/>
          <w:kern w:val="2"/>
          <w:sz w:val="32"/>
          <w:szCs w:val="32"/>
          <w:lang w:val="en-US" w:eastAsia="zh-CN" w:bidi="ar-SA"/>
        </w:rPr>
        <w:t>三、加强综合管理</w:t>
      </w:r>
    </w:p>
    <w:p>
      <w:pPr>
        <w:keepNext w:val="0"/>
        <w:keepLines w:val="0"/>
        <w:pageBreakBefore w:val="0"/>
        <w:widowControl w:val="0"/>
        <w:kinsoku/>
        <w:wordWrap/>
        <w:overflowPunct/>
        <w:topLinePunct w:val="0"/>
        <w:autoSpaceDE/>
        <w:autoSpaceDN/>
        <w:bidi w:val="0"/>
        <w:adjustRightInd/>
        <w:snapToGrid/>
        <w:spacing w:line="530" w:lineRule="exact"/>
        <w:ind w:firstLine="640"/>
        <w:textAlignment w:val="auto"/>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请各</w:t>
      </w:r>
      <w:r>
        <w:rPr>
          <w:rFonts w:hint="eastAsia" w:ascii="Times New Roman" w:hAnsi="Times New Roman" w:eastAsia="方正仿宋_GBK" w:cs="方正仿宋_GBK"/>
          <w:color w:val="000000"/>
          <w:kern w:val="2"/>
          <w:sz w:val="32"/>
          <w:szCs w:val="32"/>
          <w:lang w:val="en-US" w:eastAsia="zh-CN" w:bidi="ar-SA"/>
        </w:rPr>
        <w:t>县（区）医保部门</w:t>
      </w:r>
      <w:r>
        <w:rPr>
          <w:rFonts w:hint="eastAsia" w:ascii="Times New Roman" w:hAnsi="Times New Roman" w:eastAsia="方正仿宋_GBK" w:cs="方正仿宋_GBK"/>
          <w:sz w:val="32"/>
          <w:szCs w:val="32"/>
          <w:lang w:val="en-US" w:eastAsia="zh-CN"/>
        </w:rPr>
        <w:t>按规定做好价格信息公开和政策落实工作，加强对辖区内非营利性医疗机构项目执行的指导和监督。各医疗机构要严格执行综合诊查类医疗服务价格项目，按规定执行价格公示和医疗费用明细清单制度。可通过医疗机构应用软件、微信公众号、电子显示屏等多种方式向患者公示医疗服务项目价格，做好市场调节价项目宣传解读工作，确保患者自愿和知情同意，自觉接受社会监督。执行中遇到的问题请径向惠州市医疗保障局医药价格和采购管理科反映。</w:t>
      </w:r>
    </w:p>
    <w:p>
      <w:pPr>
        <w:keepNext w:val="0"/>
        <w:keepLines w:val="0"/>
        <w:pageBreakBefore w:val="0"/>
        <w:widowControl w:val="0"/>
        <w:kinsoku/>
        <w:wordWrap/>
        <w:overflowPunct/>
        <w:topLinePunct w:val="0"/>
        <w:autoSpaceDE/>
        <w:autoSpaceDN/>
        <w:bidi w:val="0"/>
        <w:adjustRightInd/>
        <w:snapToGrid/>
        <w:spacing w:line="530" w:lineRule="exact"/>
        <w:ind w:firstLine="64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四、明确相关支付政策</w:t>
      </w:r>
    </w:p>
    <w:p>
      <w:pPr>
        <w:keepNext w:val="0"/>
        <w:keepLines w:val="0"/>
        <w:pageBreakBefore w:val="0"/>
        <w:widowControl w:val="0"/>
        <w:kinsoku/>
        <w:wordWrap/>
        <w:overflowPunct/>
        <w:topLinePunct w:val="0"/>
        <w:autoSpaceDE/>
        <w:autoSpaceDN/>
        <w:bidi w:val="0"/>
        <w:adjustRightInd/>
        <w:snapToGrid/>
        <w:spacing w:line="530" w:lineRule="exact"/>
        <w:ind w:firstLine="640"/>
        <w:textAlignment w:val="auto"/>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“门诊诊查</w:t>
      </w:r>
      <w:r>
        <w:rPr>
          <w:rFonts w:hint="eastAsia" w:ascii="Times New Roman" w:hAnsi="Times New Roman" w:eastAsia="方正仿宋_GBK" w:cs="方正仿宋_GBK"/>
          <w:color w:val="000000"/>
          <w:kern w:val="2"/>
          <w:sz w:val="32"/>
          <w:szCs w:val="32"/>
          <w:lang w:val="en-US" w:eastAsia="zh-CN" w:bidi="ar-SA"/>
        </w:rPr>
        <w:t>费（中医辨证论治）”、“门诊诊查费(中医辨证论治）和门诊诊查费(中医辨证论治）-副主任医师(加收）”、“门诊诊查费(中医辨证论治）和门诊诊查费(中医辨证论治） -主任医师(加收）”的支付标准按照门诊诊查费(普通门诊）</w:t>
      </w:r>
      <w:r>
        <w:rPr>
          <w:rFonts w:hint="eastAsia" w:ascii="Times New Roman" w:hAnsi="Times New Roman" w:eastAsia="方正仿宋_GBK" w:cs="方正仿宋_GBK"/>
          <w:sz w:val="32"/>
          <w:szCs w:val="32"/>
          <w:lang w:val="en-US" w:eastAsia="zh-CN"/>
        </w:rPr>
        <w:t>的收费标准执行；“一般诊疗费”全额纳入医保基金支付范围，个人不先行自付；“上门服务费”医保支付标准为17元/次。</w:t>
      </w:r>
    </w:p>
    <w:p>
      <w:pPr>
        <w:keepNext w:val="0"/>
        <w:keepLines w:val="0"/>
        <w:pageBreakBefore w:val="0"/>
        <w:widowControl w:val="0"/>
        <w:kinsoku/>
        <w:wordWrap/>
        <w:overflowPunct/>
        <w:topLinePunct w:val="0"/>
        <w:autoSpaceDE/>
        <w:autoSpaceDN/>
        <w:bidi w:val="0"/>
        <w:adjustRightInd/>
        <w:snapToGrid/>
        <w:spacing w:line="530" w:lineRule="exact"/>
        <w:ind w:firstLine="640"/>
        <w:textAlignment w:val="auto"/>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本通知自2026年3月30日起执行，原政策文件与本通知不符的，以本通知为准。如遇国家或省出台新政策，按新政策执行。</w:t>
      </w:r>
    </w:p>
    <w:p>
      <w:pPr>
        <w:keepNext w:val="0"/>
        <w:keepLines w:val="0"/>
        <w:pageBreakBefore w:val="0"/>
        <w:widowControl w:val="0"/>
        <w:kinsoku/>
        <w:wordWrap/>
        <w:overflowPunct/>
        <w:topLinePunct w:val="0"/>
        <w:autoSpaceDE/>
        <w:autoSpaceDN/>
        <w:bidi w:val="0"/>
        <w:adjustRightInd/>
        <w:snapToGrid/>
        <w:spacing w:line="530" w:lineRule="exact"/>
        <w:ind w:firstLine="640"/>
        <w:textAlignment w:val="auto"/>
        <w:rPr>
          <w:rFonts w:hint="eastAsia" w:ascii="Times New Roman" w:hAnsi="Times New Roman" w:eastAsia="方正仿宋_GBK" w:cs="方正仿宋_GBK"/>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附件：1.惠州市综合诊查类医疗服务价格项目表</w:t>
      </w:r>
    </w:p>
    <w:p>
      <w:pPr>
        <w:keepNext w:val="0"/>
        <w:keepLines w:val="0"/>
        <w:pageBreakBefore w:val="0"/>
        <w:widowControl w:val="0"/>
        <w:kinsoku/>
        <w:wordWrap/>
        <w:overflowPunct/>
        <w:topLinePunct w:val="0"/>
        <w:autoSpaceDE/>
        <w:autoSpaceDN/>
        <w:bidi w:val="0"/>
        <w:adjustRightInd/>
        <w:snapToGrid/>
        <w:spacing w:line="530" w:lineRule="exact"/>
        <w:ind w:left="1916" w:leftChars="760" w:hanging="320" w:hangingChars="100"/>
        <w:textAlignment w:val="auto"/>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2.可收费的一次性使用医用耗材清单</w:t>
      </w:r>
    </w:p>
    <w:p>
      <w:pPr>
        <w:keepNext w:val="0"/>
        <w:keepLines w:val="0"/>
        <w:pageBreakBefore w:val="0"/>
        <w:widowControl w:val="0"/>
        <w:kinsoku/>
        <w:wordWrap/>
        <w:overflowPunct/>
        <w:topLinePunct w:val="0"/>
        <w:autoSpaceDE/>
        <w:autoSpaceDN/>
        <w:bidi w:val="0"/>
        <w:adjustRightInd/>
        <w:snapToGrid/>
        <w:spacing w:line="530" w:lineRule="exact"/>
        <w:ind w:firstLine="1609" w:firstLineChars="503"/>
        <w:textAlignment w:val="auto"/>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3.综合诊查类医疗服务价格项目废止表</w:t>
      </w:r>
    </w:p>
    <w:p>
      <w:pPr>
        <w:keepNext w:val="0"/>
        <w:keepLines w:val="0"/>
        <w:pageBreakBefore w:val="0"/>
        <w:widowControl w:val="0"/>
        <w:kinsoku/>
        <w:wordWrap/>
        <w:overflowPunct/>
        <w:topLinePunct w:val="0"/>
        <w:bidi w:val="0"/>
        <w:spacing w:line="530" w:lineRule="exact"/>
        <w:ind w:firstLine="5120" w:firstLineChars="1600"/>
        <w:textAlignment w:val="auto"/>
        <w:rPr>
          <w:rFonts w:hint="eastAsia" w:ascii="Times New Roman" w:hAnsi="Times New Roman" w:eastAsia="方正仿宋_GBK" w:cs="方正仿宋_GBK"/>
          <w:color w:val="000000"/>
          <w:kern w:val="2"/>
          <w:sz w:val="32"/>
          <w:szCs w:val="32"/>
          <w:lang w:val="en-US" w:eastAsia="zh-CN" w:bidi="ar-SA"/>
        </w:rPr>
      </w:pPr>
    </w:p>
    <w:p>
      <w:pPr>
        <w:keepNext w:val="0"/>
        <w:keepLines w:val="0"/>
        <w:pageBreakBefore w:val="0"/>
        <w:widowControl w:val="0"/>
        <w:kinsoku/>
        <w:wordWrap/>
        <w:overflowPunct/>
        <w:topLinePunct w:val="0"/>
        <w:bidi w:val="0"/>
        <w:spacing w:line="530" w:lineRule="exact"/>
        <w:ind w:firstLine="5120" w:firstLineChars="1600"/>
        <w:textAlignment w:val="auto"/>
        <w:rPr>
          <w:rFonts w:hint="eastAsia" w:ascii="Times New Roman" w:hAnsi="Times New Roman" w:eastAsia="方正仿宋_GBK" w:cs="方正仿宋_GBK"/>
          <w:color w:val="000000"/>
          <w:kern w:val="2"/>
          <w:sz w:val="32"/>
          <w:szCs w:val="32"/>
          <w:lang w:val="en-US" w:eastAsia="zh-CN" w:bidi="ar-SA"/>
        </w:rPr>
      </w:pPr>
    </w:p>
    <w:p>
      <w:pPr>
        <w:keepNext w:val="0"/>
        <w:keepLines w:val="0"/>
        <w:pageBreakBefore w:val="0"/>
        <w:widowControl w:val="0"/>
        <w:kinsoku/>
        <w:wordWrap/>
        <w:overflowPunct/>
        <w:topLinePunct w:val="0"/>
        <w:bidi w:val="0"/>
        <w:spacing w:line="530" w:lineRule="exact"/>
        <w:ind w:firstLine="5120" w:firstLineChars="1600"/>
        <w:textAlignment w:val="auto"/>
        <w:rPr>
          <w:rFonts w:hint="eastAsia" w:ascii="Times New Roman" w:hAnsi="Times New Roman" w:eastAsia="方正仿宋_GBK" w:cs="方正仿宋_GBK"/>
          <w:color w:val="000000"/>
          <w:kern w:val="2"/>
          <w:sz w:val="32"/>
          <w:szCs w:val="32"/>
          <w:lang w:val="en-US" w:eastAsia="zh-CN" w:bidi="ar-SA"/>
        </w:rPr>
      </w:pPr>
      <w:r>
        <w:rPr>
          <w:rFonts w:hint="eastAsia" w:ascii="Times New Roman" w:hAnsi="Times New Roman" w:eastAsia="方正仿宋_GBK" w:cs="方正仿宋_GBK"/>
          <w:color w:val="000000"/>
          <w:kern w:val="2"/>
          <w:sz w:val="32"/>
          <w:szCs w:val="32"/>
          <w:lang w:val="en-US" w:eastAsia="zh-CN" w:bidi="ar-SA"/>
        </w:rPr>
        <w:t>惠州市医疗保障局</w:t>
      </w:r>
    </w:p>
    <w:p>
      <w:pPr>
        <w:keepNext w:val="0"/>
        <w:keepLines w:val="0"/>
        <w:pageBreakBefore w:val="0"/>
        <w:widowControl w:val="0"/>
        <w:kinsoku/>
        <w:wordWrap/>
        <w:overflowPunct/>
        <w:topLinePunct w:val="0"/>
        <w:autoSpaceDE/>
        <w:autoSpaceDN/>
        <w:bidi w:val="0"/>
        <w:adjustRightInd w:val="0"/>
        <w:snapToGrid w:val="0"/>
        <w:spacing w:line="530" w:lineRule="exact"/>
        <w:ind w:right="840" w:rightChars="400" w:firstLine="5120" w:firstLineChars="1600"/>
        <w:jc w:val="both"/>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color w:val="000000"/>
          <w:kern w:val="2"/>
          <w:sz w:val="32"/>
          <w:szCs w:val="32"/>
          <w:lang w:val="en-US" w:eastAsia="zh-CN" w:bidi="ar-SA"/>
        </w:rPr>
        <w:t>2026年3月27日</w:t>
      </w:r>
    </w:p>
    <w:p>
      <w:pPr>
        <w:pStyle w:val="2"/>
        <w:keepNext w:val="0"/>
        <w:keepLines w:val="0"/>
        <w:pageBreakBefore w:val="0"/>
        <w:widowControl w:val="0"/>
        <w:kinsoku/>
        <w:wordWrap/>
        <w:overflowPunct/>
        <w:topLinePunct w:val="0"/>
        <w:bidi w:val="0"/>
        <w:snapToGrid/>
        <w:spacing w:line="530" w:lineRule="exact"/>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（联系人：谢晨露；联系电话：2862932。）</w:t>
      </w:r>
    </w:p>
    <w:p>
      <w:pPr>
        <w:pStyle w:val="2"/>
        <w:rPr>
          <w:rFonts w:hint="eastAsia" w:ascii="Times New Roman" w:hAnsi="Times New Roman" w:eastAsia="方正仿宋_GBK" w:cs="方正仿宋_GBK"/>
          <w:sz w:val="32"/>
          <w:szCs w:val="32"/>
          <w:lang w:val="en-US" w:eastAsia="zh-CN"/>
        </w:rPr>
      </w:pPr>
    </w:p>
    <w:p>
      <w:pPr>
        <w:rPr>
          <w:rFonts w:hint="eastAsia" w:ascii="Times New Roman" w:hAnsi="Times New Roman" w:eastAsia="方正仿宋_GBK" w:cs="方正仿宋_GBK"/>
          <w:sz w:val="32"/>
          <w:szCs w:val="32"/>
          <w:lang w:val="en-US" w:eastAsia="zh-CN"/>
        </w:rPr>
        <w:sectPr>
          <w:footerReference r:id="rId3" w:type="default"/>
          <w:pgSz w:w="11906" w:h="16838"/>
          <w:pgMar w:top="2098" w:right="1474" w:bottom="1984" w:left="1588" w:header="851" w:footer="1361" w:gutter="0"/>
          <w:pgBorders>
            <w:top w:val="none" w:sz="0" w:space="0"/>
            <w:left w:val="none" w:sz="0" w:space="0"/>
            <w:bottom w:val="none" w:sz="0" w:space="0"/>
            <w:right w:val="none" w:sz="0" w:space="0"/>
          </w:pgBorders>
          <w:pgNumType w:fmt="numberInDash"/>
          <w:cols w:space="720" w:num="1"/>
          <w:docGrid w:type="lines" w:linePitch="312" w:charSpace="0"/>
        </w:sectPr>
      </w:pPr>
    </w:p>
    <w:p>
      <w:pPr>
        <w:pStyle w:val="2"/>
        <w:rPr>
          <w:rFonts w:hint="eastAsia"/>
          <w:lang w:val="en-US" w:eastAsia="zh-CN"/>
        </w:rPr>
      </w:pPr>
    </w:p>
    <w:p>
      <w:pPr>
        <w:pStyle w:val="2"/>
        <w:rPr>
          <w:rFonts w:hint="eastAsia" w:ascii="Times New Roman" w:hAnsi="Times New Roman" w:eastAsia="方正仿宋_GBK" w:cs="方正仿宋_GBK"/>
          <w:sz w:val="32"/>
          <w:szCs w:val="32"/>
          <w:lang w:val="en-US" w:eastAsia="zh-CN"/>
        </w:rPr>
      </w:pPr>
    </w:p>
    <w:p>
      <w:pPr>
        <w:rPr>
          <w:rFonts w:hint="eastAsia" w:ascii="Times New Roman" w:hAnsi="Times New Roman" w:eastAsia="方正仿宋_GBK" w:cs="方正仿宋_GBK"/>
          <w:sz w:val="32"/>
          <w:szCs w:val="32"/>
          <w:lang w:val="en-US" w:eastAsia="zh-CN"/>
        </w:rPr>
      </w:pPr>
    </w:p>
    <w:p>
      <w:pPr>
        <w:pStyle w:val="2"/>
        <w:rPr>
          <w:rFonts w:hint="eastAsia" w:ascii="Times New Roman" w:hAnsi="Times New Roman" w:eastAsia="方正仿宋_GBK" w:cs="方正仿宋_GBK"/>
          <w:sz w:val="32"/>
          <w:szCs w:val="32"/>
          <w:lang w:val="en-US" w:eastAsia="zh-CN"/>
        </w:rPr>
      </w:pPr>
    </w:p>
    <w:p>
      <w:pPr>
        <w:rPr>
          <w:rFonts w:hint="eastAsia" w:ascii="Times New Roman" w:hAnsi="Times New Roman" w:eastAsia="方正仿宋_GBK" w:cs="方正仿宋_GBK"/>
          <w:sz w:val="32"/>
          <w:szCs w:val="32"/>
          <w:lang w:val="en-US" w:eastAsia="zh-CN"/>
        </w:rPr>
      </w:pPr>
    </w:p>
    <w:p>
      <w:pPr>
        <w:pStyle w:val="2"/>
        <w:rPr>
          <w:rFonts w:hint="eastAsia" w:ascii="Times New Roman" w:hAnsi="Times New Roman" w:eastAsia="方正仿宋_GBK" w:cs="方正仿宋_GBK"/>
          <w:sz w:val="32"/>
          <w:szCs w:val="32"/>
          <w:lang w:val="en-US" w:eastAsia="zh-CN"/>
        </w:rPr>
      </w:pPr>
    </w:p>
    <w:p>
      <w:pPr>
        <w:rPr>
          <w:rFonts w:hint="eastAsia" w:ascii="Times New Roman" w:hAnsi="Times New Roman" w:eastAsia="方正仿宋_GBK" w:cs="方正仿宋_GBK"/>
          <w:sz w:val="32"/>
          <w:szCs w:val="32"/>
          <w:lang w:val="en-US" w:eastAsia="zh-CN"/>
        </w:rPr>
      </w:pPr>
    </w:p>
    <w:p>
      <w:pPr>
        <w:pStyle w:val="2"/>
        <w:rPr>
          <w:rFonts w:hint="eastAsia" w:ascii="Times New Roman" w:hAnsi="Times New Roman" w:eastAsia="方正仿宋_GBK" w:cs="方正仿宋_GBK"/>
          <w:sz w:val="32"/>
          <w:szCs w:val="32"/>
          <w:lang w:val="en-US" w:eastAsia="zh-CN"/>
        </w:rPr>
      </w:pPr>
    </w:p>
    <w:p>
      <w:pPr>
        <w:rPr>
          <w:rFonts w:hint="eastAsia" w:ascii="Times New Roman" w:hAnsi="Times New Roman" w:eastAsia="方正仿宋_GBK" w:cs="方正仿宋_GBK"/>
          <w:sz w:val="32"/>
          <w:szCs w:val="32"/>
          <w:lang w:val="en-US" w:eastAsia="zh-CN"/>
        </w:rPr>
      </w:pPr>
    </w:p>
    <w:p>
      <w:pPr>
        <w:pStyle w:val="2"/>
        <w:rPr>
          <w:rFonts w:hint="eastAsia" w:ascii="Times New Roman" w:hAnsi="Times New Roman" w:eastAsia="方正仿宋_GBK" w:cs="方正仿宋_GBK"/>
          <w:sz w:val="32"/>
          <w:szCs w:val="32"/>
          <w:lang w:val="en-US" w:eastAsia="zh-CN"/>
        </w:rPr>
      </w:pPr>
    </w:p>
    <w:p>
      <w:pPr>
        <w:rPr>
          <w:rFonts w:hint="eastAsia" w:ascii="Times New Roman" w:hAnsi="Times New Roman" w:eastAsia="方正仿宋_GBK" w:cs="方正仿宋_GBK"/>
          <w:sz w:val="32"/>
          <w:szCs w:val="32"/>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bookmarkStart w:id="0" w:name="_GoBack"/>
      <w:bookmarkEnd w:id="0"/>
    </w:p>
    <w:p>
      <w:pPr>
        <w:pStyle w:val="2"/>
        <w:rPr>
          <w:rFonts w:hint="default"/>
          <w:lang w:val="en-US" w:eastAsia="zh-CN"/>
        </w:rPr>
      </w:pPr>
      <w:r>
        <w:rPr>
          <w:rFonts w:hint="eastAsia" w:ascii="方正黑体_GBK" w:hAnsi="方正黑体_GBK" w:eastAsia="方正黑体_GBK" w:cs="方正黑体_GBK"/>
          <w:sz w:val="32"/>
          <w:szCs w:val="32"/>
          <w:lang w:val="en-US" w:eastAsia="zh-CN"/>
        </w:rPr>
        <w:t>公开方式：</w:t>
      </w:r>
      <w:r>
        <w:rPr>
          <w:rFonts w:hint="eastAsia" w:ascii="Times New Roman" w:hAnsi="Times New Roman" w:eastAsia="方正仿宋_GBK" w:cs="方正仿宋_GBK"/>
          <w:sz w:val="32"/>
          <w:szCs w:val="32"/>
          <w:lang w:val="en-US" w:eastAsia="zh-CN"/>
        </w:rPr>
        <w:t>主动公开</w:t>
      </w:r>
    </w:p>
    <w:tbl>
      <w:tblPr>
        <w:tblStyle w:val="20"/>
        <w:tblpPr w:leftFromText="180" w:rightFromText="180" w:vertAnchor="text" w:horzAnchor="page" w:tblpX="1697" w:tblpY="339"/>
        <w:tblOverlap w:val="never"/>
        <w:tblW w:w="0" w:type="auto"/>
        <w:tblInd w:w="0" w:type="dxa"/>
        <w:tblBorders>
          <w:top w:val="single" w:color="auto" w:sz="12" w:space="0"/>
          <w:left w:val="none" w:color="auto" w:sz="0" w:space="0"/>
          <w:bottom w:val="single" w:color="auto" w:sz="12"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8880"/>
      </w:tblGrid>
      <w:tr>
        <w:tblPrEx>
          <w:tblBorders>
            <w:top w:val="single" w:color="auto" w:sz="12" w:space="0"/>
            <w:left w:val="none" w:color="auto" w:sz="0" w:space="0"/>
            <w:bottom w:val="single" w:color="auto" w:sz="12" w:space="0"/>
            <w:right w:val="none" w:color="auto" w:sz="0" w:space="0"/>
            <w:insideH w:val="single" w:color="auto" w:sz="4" w:space="0"/>
            <w:insideV w:val="none" w:color="auto" w:sz="0" w:space="0"/>
          </w:tblBorders>
        </w:tblPrEx>
        <w:trPr>
          <w:trHeight w:val="522" w:hRule="atLeast"/>
        </w:trPr>
        <w:tc>
          <w:tcPr>
            <w:tcW w:w="8880" w:type="dxa"/>
            <w:tcBorders>
              <w:tl2br w:val="nil"/>
              <w:tr2bl w:val="nil"/>
            </w:tcBorders>
            <w:noWrap w:val="0"/>
            <w:vAlign w:val="top"/>
          </w:tcPr>
          <w:p>
            <w:pPr>
              <w:keepNext w:val="0"/>
              <w:keepLines w:val="0"/>
              <w:pageBreakBefore w:val="0"/>
              <w:widowControl w:val="0"/>
              <w:kinsoku/>
              <w:wordWrap/>
              <w:overflowPunct/>
              <w:topLinePunct w:val="0"/>
              <w:bidi w:val="0"/>
              <w:adjustRightInd/>
              <w:snapToGrid/>
              <w:spacing w:line="560" w:lineRule="exact"/>
              <w:ind w:firstLine="280" w:firstLineChars="100"/>
              <w:textAlignment w:val="auto"/>
              <w:rPr>
                <w:rFonts w:hint="eastAsia" w:ascii="Times New Roman" w:hAnsi="Times New Roman" w:eastAsia="方正仿宋_GBK" w:cs="方正仿宋_GBK"/>
                <w:sz w:val="28"/>
                <w:szCs w:val="28"/>
                <w:lang w:val="en-US" w:eastAsia="zh-CN" w:bidi="ar-SA"/>
              </w:rPr>
            </w:pPr>
            <w:r>
              <w:rPr>
                <w:rFonts w:hint="eastAsia" w:ascii="Times New Roman" w:hAnsi="Times New Roman" w:eastAsia="方正仿宋_GBK" w:cs="方正仿宋_GBK"/>
                <w:sz w:val="28"/>
                <w:szCs w:val="28"/>
                <w:lang w:val="en-US" w:eastAsia="zh-CN" w:bidi="ar-SA"/>
              </w:rPr>
              <w:t>抄报：惠州市人民政府办公室。</w:t>
            </w:r>
          </w:p>
        </w:tc>
      </w:tr>
      <w:tr>
        <w:tblPrEx>
          <w:tblBorders>
            <w:top w:val="single" w:color="auto" w:sz="12" w:space="0"/>
            <w:left w:val="none" w:color="auto" w:sz="0" w:space="0"/>
            <w:bottom w:val="single" w:color="auto" w:sz="12"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522" w:hRule="atLeast"/>
        </w:trPr>
        <w:tc>
          <w:tcPr>
            <w:tcW w:w="8880" w:type="dxa"/>
            <w:tcBorders>
              <w:tl2br w:val="nil"/>
              <w:tr2bl w:val="nil"/>
            </w:tcBorders>
            <w:noWrap w:val="0"/>
            <w:vAlign w:val="top"/>
          </w:tcPr>
          <w:p>
            <w:pPr>
              <w:keepNext w:val="0"/>
              <w:keepLines w:val="0"/>
              <w:pageBreakBefore w:val="0"/>
              <w:widowControl w:val="0"/>
              <w:kinsoku/>
              <w:wordWrap/>
              <w:overflowPunct/>
              <w:topLinePunct w:val="0"/>
              <w:bidi w:val="0"/>
              <w:adjustRightInd/>
              <w:snapToGrid/>
              <w:spacing w:line="560" w:lineRule="exact"/>
              <w:ind w:firstLine="280" w:firstLineChars="100"/>
              <w:textAlignment w:val="auto"/>
              <w:rPr>
                <w:rFonts w:hint="default" w:ascii="Times New Roman" w:hAnsi="Times New Roman" w:eastAsia="仿宋_GB2312" w:cs="Times New Roman"/>
                <w:color w:val="auto"/>
                <w:sz w:val="28"/>
                <w:szCs w:val="28"/>
              </w:rPr>
            </w:pPr>
            <w:r>
              <w:rPr>
                <w:rFonts w:hint="eastAsia" w:ascii="Times New Roman" w:hAnsi="Times New Roman" w:eastAsia="方正仿宋_GBK" w:cs="方正仿宋_GBK"/>
                <w:sz w:val="28"/>
                <w:szCs w:val="28"/>
                <w:lang w:val="en-US" w:eastAsia="zh-CN" w:bidi="ar-SA"/>
              </w:rPr>
              <w:t>抄送：惠州市卫生健康局，惠州市市场监督管理局。</w:t>
            </w:r>
          </w:p>
        </w:tc>
      </w:tr>
      <w:tr>
        <w:tblPrEx>
          <w:tblBorders>
            <w:top w:val="single" w:color="auto" w:sz="12" w:space="0"/>
            <w:left w:val="none" w:color="auto" w:sz="0" w:space="0"/>
            <w:bottom w:val="single" w:color="auto" w:sz="12"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522" w:hRule="atLeast"/>
        </w:trPr>
        <w:tc>
          <w:tcPr>
            <w:tcW w:w="8880" w:type="dxa"/>
            <w:tcBorders>
              <w:tl2br w:val="nil"/>
              <w:tr2bl w:val="nil"/>
            </w:tcBorders>
            <w:noWrap w:val="0"/>
            <w:vAlign w:val="top"/>
          </w:tcPr>
          <w:p>
            <w:pPr>
              <w:keepNext w:val="0"/>
              <w:keepLines w:val="0"/>
              <w:pageBreakBefore w:val="0"/>
              <w:widowControl w:val="0"/>
              <w:kinsoku/>
              <w:wordWrap/>
              <w:overflowPunct/>
              <w:topLinePunct w:val="0"/>
              <w:bidi w:val="0"/>
              <w:adjustRightInd/>
              <w:snapToGrid/>
              <w:spacing w:line="560" w:lineRule="exact"/>
              <w:ind w:firstLine="280" w:firstLineChars="100"/>
              <w:textAlignment w:val="auto"/>
              <w:rPr>
                <w:rFonts w:hint="default" w:ascii="Times New Roman" w:hAnsi="Times New Roman" w:eastAsia="方正仿宋_GBK" w:cs="Times New Roman"/>
                <w:sz w:val="28"/>
                <w:szCs w:val="28"/>
                <w:lang w:val="en-US" w:eastAsia="zh-CN" w:bidi="ar-SA"/>
              </w:rPr>
            </w:pPr>
            <w:r>
              <w:rPr>
                <w:rFonts w:hint="default" w:ascii="Times New Roman" w:hAnsi="Times New Roman" w:eastAsia="方正仿宋_GBK" w:cs="Times New Roman"/>
                <w:sz w:val="28"/>
                <w:szCs w:val="28"/>
                <w:lang w:val="en-US" w:eastAsia="zh-CN" w:bidi="ar-SA"/>
              </w:rPr>
              <w:t>惠州市医疗保障局办公室                 202</w:t>
            </w:r>
            <w:r>
              <w:rPr>
                <w:rFonts w:hint="eastAsia" w:ascii="Times New Roman" w:hAnsi="Times New Roman" w:eastAsia="方正仿宋_GBK" w:cs="Times New Roman"/>
                <w:sz w:val="28"/>
                <w:szCs w:val="28"/>
                <w:lang w:val="en-US" w:eastAsia="zh-CN" w:bidi="ar-SA"/>
              </w:rPr>
              <w:t>6</w:t>
            </w:r>
            <w:r>
              <w:rPr>
                <w:rFonts w:hint="default" w:ascii="Times New Roman" w:hAnsi="Times New Roman" w:eastAsia="方正仿宋_GBK" w:cs="Times New Roman"/>
                <w:sz w:val="28"/>
                <w:szCs w:val="28"/>
                <w:lang w:val="en-US" w:eastAsia="zh-CN" w:bidi="ar-SA"/>
              </w:rPr>
              <w:t>年</w:t>
            </w:r>
            <w:r>
              <w:rPr>
                <w:rFonts w:hint="eastAsia" w:ascii="Times New Roman" w:hAnsi="Times New Roman" w:eastAsia="方正仿宋_GBK" w:cs="Times New Roman"/>
                <w:sz w:val="28"/>
                <w:szCs w:val="28"/>
                <w:lang w:val="en-US" w:eastAsia="zh-CN" w:bidi="ar-SA"/>
              </w:rPr>
              <w:t>3</w:t>
            </w:r>
            <w:r>
              <w:rPr>
                <w:rFonts w:hint="default" w:ascii="Times New Roman" w:hAnsi="Times New Roman" w:eastAsia="方正仿宋_GBK" w:cs="Times New Roman"/>
                <w:sz w:val="28"/>
                <w:szCs w:val="28"/>
                <w:lang w:val="en-US" w:eastAsia="zh-CN" w:bidi="ar-SA"/>
              </w:rPr>
              <w:t>月</w:t>
            </w:r>
            <w:r>
              <w:rPr>
                <w:rFonts w:hint="eastAsia" w:ascii="Times New Roman" w:hAnsi="Times New Roman" w:eastAsia="方正仿宋_GBK" w:cs="Times New Roman"/>
                <w:sz w:val="28"/>
                <w:szCs w:val="28"/>
                <w:lang w:val="en-US" w:eastAsia="zh-CN" w:bidi="ar-SA"/>
              </w:rPr>
              <w:t>2</w:t>
            </w:r>
            <w:r>
              <w:rPr>
                <w:rFonts w:hint="eastAsia" w:eastAsia="方正仿宋_GBK" w:cs="Times New Roman"/>
                <w:sz w:val="28"/>
                <w:szCs w:val="28"/>
                <w:lang w:val="en-US" w:eastAsia="zh-CN" w:bidi="ar-SA"/>
              </w:rPr>
              <w:t>7</w:t>
            </w:r>
            <w:r>
              <w:rPr>
                <w:rFonts w:hint="default" w:ascii="Times New Roman" w:hAnsi="Times New Roman" w:eastAsia="方正仿宋_GBK" w:cs="Times New Roman"/>
                <w:sz w:val="28"/>
                <w:szCs w:val="28"/>
                <w:lang w:val="en-US" w:eastAsia="zh-CN" w:bidi="ar-SA"/>
              </w:rPr>
              <w:t>日印发</w:t>
            </w:r>
          </w:p>
        </w:tc>
      </w:tr>
    </w:tbl>
    <w:p>
      <w:pPr>
        <w:bidi w:val="0"/>
        <w:jc w:val="left"/>
        <w:rPr>
          <w:rFonts w:hint="eastAsia" w:ascii="Times New Roman" w:hAnsi="Times New Roman" w:eastAsia="宋体" w:cs="Times New Roman"/>
          <w:vanish/>
          <w:color w:val="auto"/>
          <w:kern w:val="2"/>
          <w:sz w:val="21"/>
          <w:szCs w:val="24"/>
          <w:lang w:val="en-US" w:eastAsia="zh-CN" w:bidi="ar-SA"/>
        </w:rPr>
      </w:pPr>
    </w:p>
    <w:p>
      <w:pPr>
        <w:rPr>
          <w:rFonts w:hint="default" w:ascii="Times New Roman" w:hAnsi="Times New Roman" w:cs="Times New Roman"/>
          <w:vanish/>
          <w:color w:val="auto"/>
          <w:sz w:val="21"/>
        </w:rPr>
      </w:pPr>
    </w:p>
    <w:sectPr>
      <w:footerReference r:id="rId4" w:type="default"/>
      <w:pgSz w:w="11906" w:h="16838"/>
      <w:pgMar w:top="2098" w:right="1474" w:bottom="1984" w:left="1588" w:header="851" w:footer="1361"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简体">
    <w:altName w:val="微软雅黑"/>
    <w:panose1 w:val="03000509000000000000"/>
    <w:charset w:val="86"/>
    <w:family w:val="script"/>
    <w:pitch w:val="default"/>
    <w:sig w:usb0="00000000" w:usb1="00000000" w:usb2="00000010" w:usb3="00000000" w:csb0="00040000" w:csb1="00000000"/>
  </w:font>
  <w:font w:name="Calibri Light">
    <w:panose1 w:val="020F0302020204030204"/>
    <w:charset w:val="00"/>
    <w:family w:val="auto"/>
    <w:pitch w:val="default"/>
    <w:sig w:usb0="E0002A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2B29C5"/>
    <w:rsid w:val="02BA7D77"/>
    <w:rsid w:val="046B577A"/>
    <w:rsid w:val="04905B87"/>
    <w:rsid w:val="05A31A43"/>
    <w:rsid w:val="0B0E6040"/>
    <w:rsid w:val="0CA44BFC"/>
    <w:rsid w:val="0CAA7BC6"/>
    <w:rsid w:val="0D741F8F"/>
    <w:rsid w:val="0D9F043E"/>
    <w:rsid w:val="0EA457A0"/>
    <w:rsid w:val="0F2A5785"/>
    <w:rsid w:val="0F5C47D0"/>
    <w:rsid w:val="12BF63A9"/>
    <w:rsid w:val="1488694A"/>
    <w:rsid w:val="16F25E13"/>
    <w:rsid w:val="18DE75D1"/>
    <w:rsid w:val="198A15AE"/>
    <w:rsid w:val="1A9F7CAC"/>
    <w:rsid w:val="20111066"/>
    <w:rsid w:val="23BB5022"/>
    <w:rsid w:val="266C1514"/>
    <w:rsid w:val="27697E18"/>
    <w:rsid w:val="2CA31D9E"/>
    <w:rsid w:val="2D781DD7"/>
    <w:rsid w:val="2DE51420"/>
    <w:rsid w:val="30CD1BA8"/>
    <w:rsid w:val="312A7970"/>
    <w:rsid w:val="33536B9A"/>
    <w:rsid w:val="35C87488"/>
    <w:rsid w:val="362F4F63"/>
    <w:rsid w:val="38351F85"/>
    <w:rsid w:val="39196763"/>
    <w:rsid w:val="3C2471D8"/>
    <w:rsid w:val="3EFA6263"/>
    <w:rsid w:val="40B65060"/>
    <w:rsid w:val="43811772"/>
    <w:rsid w:val="44C849D4"/>
    <w:rsid w:val="45812355"/>
    <w:rsid w:val="46E106F0"/>
    <w:rsid w:val="4B6B5F6A"/>
    <w:rsid w:val="4BB543DA"/>
    <w:rsid w:val="4E546D64"/>
    <w:rsid w:val="52AA5C5A"/>
    <w:rsid w:val="52B27C5E"/>
    <w:rsid w:val="558620F4"/>
    <w:rsid w:val="55D32DE3"/>
    <w:rsid w:val="571457E0"/>
    <w:rsid w:val="59C01289"/>
    <w:rsid w:val="5A11022A"/>
    <w:rsid w:val="5AAF7D19"/>
    <w:rsid w:val="5BFB076A"/>
    <w:rsid w:val="5D105DF4"/>
    <w:rsid w:val="60A42C2B"/>
    <w:rsid w:val="6A1B456A"/>
    <w:rsid w:val="6B2D70F1"/>
    <w:rsid w:val="6BF5369B"/>
    <w:rsid w:val="6D0C7C52"/>
    <w:rsid w:val="6EFD2A18"/>
    <w:rsid w:val="6F6373A3"/>
    <w:rsid w:val="735F2C44"/>
    <w:rsid w:val="76E6749E"/>
    <w:rsid w:val="79CD2447"/>
    <w:rsid w:val="7A33164F"/>
    <w:rsid w:val="7E2B2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paragraph" w:styleId="6">
    <w:name w:val="heading 3"/>
    <w:basedOn w:val="1"/>
    <w:next w:val="1"/>
    <w:qFormat/>
    <w:uiPriority w:val="0"/>
    <w:pPr>
      <w:spacing w:beforeAutospacing="1" w:afterAutospacing="1"/>
      <w:jc w:val="left"/>
      <w:outlineLvl w:val="2"/>
    </w:pPr>
    <w:rPr>
      <w:rFonts w:hint="eastAsia" w:ascii="宋体" w:hAnsi="宋体"/>
      <w:b/>
      <w:kern w:val="0"/>
      <w:sz w:val="24"/>
    </w:rPr>
  </w:style>
  <w:style w:type="paragraph" w:styleId="7">
    <w:name w:val="heading 4"/>
    <w:basedOn w:val="1"/>
    <w:next w:val="1"/>
    <w:unhideWhenUsed/>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21">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customStyle="1" w:styleId="2">
    <w:name w:val="Default"/>
    <w:basedOn w:val="3"/>
    <w:next w:val="1"/>
    <w:unhideWhenUsed/>
    <w:qFormat/>
    <w:uiPriority w:val="99"/>
    <w:pPr>
      <w:widowControl w:val="0"/>
      <w:autoSpaceDE w:val="0"/>
      <w:autoSpaceDN w:val="0"/>
      <w:adjustRightInd w:val="0"/>
    </w:pPr>
    <w:rPr>
      <w:rFonts w:hint="eastAsia" w:ascii="方正仿宋简体" w:hAnsi="方正仿宋简体" w:eastAsia="方正仿宋简体" w:cs="Times New Roman"/>
      <w:color w:val="000000"/>
      <w:sz w:val="24"/>
      <w:szCs w:val="22"/>
      <w:lang w:val="en-US" w:eastAsia="zh-CN" w:bidi="ar-SA"/>
    </w:rPr>
  </w:style>
  <w:style w:type="paragraph" w:customStyle="1" w:styleId="3">
    <w:name w:val="正文 New"/>
    <w:next w:val="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
    <w:name w:val="标题 2 New"/>
    <w:basedOn w:val="3"/>
    <w:next w:val="3"/>
    <w:qFormat/>
    <w:uiPriority w:val="0"/>
    <w:pPr>
      <w:keepNext/>
      <w:keepLines/>
      <w:spacing w:before="260" w:after="260" w:line="416" w:lineRule="auto"/>
      <w:outlineLvl w:val="1"/>
    </w:pPr>
    <w:rPr>
      <w:rFonts w:ascii="Calibri Light" w:hAnsi="Calibri Light" w:eastAsia="宋体" w:cs="Times New Roman"/>
      <w:b/>
      <w:bCs/>
      <w:szCs w:val="32"/>
    </w:rPr>
  </w:style>
  <w:style w:type="paragraph" w:styleId="8">
    <w:name w:val="Normal Indent"/>
    <w:basedOn w:val="1"/>
    <w:qFormat/>
    <w:uiPriority w:val="0"/>
    <w:pPr>
      <w:adjustRightInd w:val="0"/>
      <w:spacing w:line="360" w:lineRule="auto"/>
      <w:ind w:firstLine="420"/>
      <w:textAlignment w:val="baseline"/>
    </w:pPr>
    <w:rPr>
      <w:rFonts w:ascii="Calibri" w:hAnsi="Calibri"/>
      <w:kern w:val="0"/>
      <w:sz w:val="24"/>
    </w:rPr>
  </w:style>
  <w:style w:type="paragraph" w:styleId="9">
    <w:name w:val="Body Text"/>
    <w:basedOn w:val="1"/>
    <w:next w:val="10"/>
    <w:unhideWhenUsed/>
    <w:qFormat/>
    <w:uiPriority w:val="99"/>
    <w:pPr>
      <w:spacing w:after="120"/>
    </w:pPr>
  </w:style>
  <w:style w:type="paragraph" w:styleId="10">
    <w:name w:val="Title"/>
    <w:basedOn w:val="1"/>
    <w:next w:val="1"/>
    <w:qFormat/>
    <w:uiPriority w:val="0"/>
    <w:pPr>
      <w:jc w:val="center"/>
      <w:outlineLvl w:val="0"/>
    </w:pPr>
    <w:rPr>
      <w:rFonts w:ascii="方正小标宋_GBK" w:hAnsi="方正小标宋_GBK" w:eastAsia="方正小标宋_GBK" w:cs="方正小标宋_GBK"/>
      <w:sz w:val="44"/>
      <w:szCs w:val="44"/>
    </w:rPr>
  </w:style>
  <w:style w:type="paragraph" w:styleId="11">
    <w:name w:val="Body Text Indent"/>
    <w:basedOn w:val="1"/>
    <w:next w:val="9"/>
    <w:qFormat/>
    <w:uiPriority w:val="0"/>
    <w:pPr>
      <w:ind w:firstLine="360"/>
    </w:pPr>
  </w:style>
  <w:style w:type="paragraph" w:styleId="12">
    <w:name w:val="Plain Text"/>
    <w:basedOn w:val="1"/>
    <w:qFormat/>
    <w:uiPriority w:val="0"/>
    <w:rPr>
      <w:rFonts w:ascii="宋体" w:hAnsi="Courier New" w:eastAsia="宋体" w:cs="Times New Roman"/>
    </w:rPr>
  </w:style>
  <w:style w:type="paragraph" w:styleId="13">
    <w:name w:val="Body Text Indent 2"/>
    <w:basedOn w:val="1"/>
    <w:qFormat/>
    <w:uiPriority w:val="0"/>
    <w:pPr>
      <w:ind w:firstLine="624"/>
    </w:pPr>
    <w:rPr>
      <w:rFonts w:ascii="仿宋_GB2312" w:eastAsia="仿宋_GB2312"/>
      <w:sz w:val="28"/>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16">
    <w:name w:val="toc 2"/>
    <w:basedOn w:val="1"/>
    <w:next w:val="1"/>
    <w:unhideWhenUsed/>
    <w:qFormat/>
    <w:uiPriority w:val="39"/>
    <w:pPr>
      <w:ind w:left="420" w:leftChars="200"/>
    </w:pPr>
    <w:rPr>
      <w:rFonts w:ascii="Calibri" w:hAnsi="Calibri"/>
      <w:szCs w:val="24"/>
    </w:rPr>
  </w:style>
  <w:style w:type="paragraph" w:styleId="17">
    <w:name w:val="Normal (Web)"/>
    <w:basedOn w:val="1"/>
    <w:qFormat/>
    <w:uiPriority w:val="0"/>
    <w:pPr>
      <w:pBdr>
        <w:top w:val="none" w:color="auto" w:sz="0" w:space="0"/>
        <w:left w:val="none" w:color="auto" w:sz="0" w:space="0"/>
        <w:bottom w:val="none" w:color="auto" w:sz="0" w:space="0"/>
        <w:right w:val="none" w:color="auto" w:sz="0" w:space="0"/>
      </w:pBdr>
      <w:spacing w:before="0" w:beforeLines="0" w:beforeAutospacing="0" w:after="0" w:afterLines="0" w:afterAutospacing="0"/>
      <w:ind w:left="0" w:right="0"/>
      <w:jc w:val="left"/>
    </w:pPr>
    <w:rPr>
      <w:kern w:val="0"/>
      <w:sz w:val="24"/>
      <w:lang w:val="en-US" w:eastAsia="zh-CN" w:bidi="ar"/>
    </w:rPr>
  </w:style>
  <w:style w:type="paragraph" w:styleId="18">
    <w:name w:val="Body Text First Indent"/>
    <w:basedOn w:val="9"/>
    <w:qFormat/>
    <w:uiPriority w:val="0"/>
    <w:pPr>
      <w:ind w:firstLine="420" w:firstLineChars="100"/>
    </w:pPr>
  </w:style>
  <w:style w:type="paragraph" w:styleId="19">
    <w:name w:val="Body Text First Indent 2"/>
    <w:basedOn w:val="11"/>
    <w:next w:val="18"/>
    <w:qFormat/>
    <w:uiPriority w:val="0"/>
    <w:pPr>
      <w:ind w:firstLine="420" w:firstLineChars="200"/>
    </w:pPr>
  </w:style>
  <w:style w:type="character" w:styleId="22">
    <w:name w:val="page number"/>
    <w:basedOn w:val="21"/>
    <w:qFormat/>
    <w:uiPriority w:val="0"/>
  </w:style>
  <w:style w:type="character" w:styleId="23">
    <w:name w:val="Emphasis"/>
    <w:basedOn w:val="21"/>
    <w:qFormat/>
    <w:uiPriority w:val="0"/>
    <w:rPr>
      <w:i/>
    </w:rPr>
  </w:style>
  <w:style w:type="paragraph" w:customStyle="1" w:styleId="24">
    <w:name w:val="Plain Text1"/>
    <w:qFormat/>
    <w:uiPriority w:val="99"/>
    <w:pPr>
      <w:widowControl w:val="0"/>
      <w:jc w:val="both"/>
    </w:pPr>
    <w:rPr>
      <w:rFonts w:ascii="宋体" w:hAnsi="Courier New" w:eastAsia="宋体" w:cs="宋体"/>
      <w:kern w:val="2"/>
      <w:sz w:val="21"/>
      <w:lang w:val="en-US" w:eastAsia="zh-CN" w:bidi="ar-SA"/>
    </w:rPr>
  </w:style>
  <w:style w:type="paragraph" w:customStyle="1" w:styleId="25">
    <w:name w:val="正文 New New"/>
    <w:qFormat/>
    <w:uiPriority w:val="0"/>
    <w:pPr>
      <w:widowControl w:val="0"/>
      <w:jc w:val="both"/>
    </w:pPr>
    <w:rPr>
      <w:rFonts w:ascii="Times New Roman" w:hAnsi="Times New Roman" w:eastAsia="宋体" w:cs="Times New Roman"/>
      <w:kern w:val="2"/>
      <w:sz w:val="21"/>
      <w:lang w:val="en-US" w:eastAsia="zh-CN" w:bidi="ar-SA"/>
    </w:rPr>
  </w:style>
  <w:style w:type="table" w:customStyle="1" w:styleId="26">
    <w:name w:val="Table Normal"/>
    <w:semiHidden/>
    <w:unhideWhenUsed/>
    <w:qFormat/>
    <w:uiPriority w:val="0"/>
    <w:tblPr>
      <w:tblCellMar>
        <w:top w:w="0" w:type="dxa"/>
        <w:left w:w="0" w:type="dxa"/>
        <w:bottom w:w="0" w:type="dxa"/>
        <w:right w:w="0" w:type="dxa"/>
      </w:tblCellMar>
    </w:tblPr>
  </w:style>
  <w:style w:type="paragraph" w:customStyle="1" w:styleId="27">
    <w:name w:val="Table Text"/>
    <w:basedOn w:val="1"/>
    <w:semiHidden/>
    <w:qFormat/>
    <w:uiPriority w:val="0"/>
    <w:rPr>
      <w:rFonts w:ascii="宋体" w:hAnsi="宋体" w:eastAsia="宋体" w:cs="宋体"/>
      <w:sz w:val="18"/>
      <w:szCs w:val="18"/>
      <w:lang w:val="en-US" w:eastAsia="en-US" w:bidi="ar-SA"/>
    </w:rPr>
  </w:style>
  <w:style w:type="paragraph" w:customStyle="1" w:styleId="28">
    <w:name w:val="正文 New New New New New"/>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9">
    <w:name w:val="readonlyfieldval1"/>
    <w:basedOn w:val="21"/>
    <w:qFormat/>
    <w:uiPriority w:val="0"/>
  </w:style>
  <w:style w:type="paragraph" w:customStyle="1" w:styleId="30">
    <w:name w:val="公文:正文"/>
    <w:basedOn w:val="1"/>
    <w:qFormat/>
    <w:uiPriority w:val="0"/>
    <w:pPr>
      <w:spacing w:line="600" w:lineRule="exact"/>
    </w:pPr>
    <w:rPr>
      <w:rFonts w:ascii="Times New Roman" w:hAnsi="Times New Roman" w:eastAsia="仿宋"/>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市医疗保障局</Company>
  <Pages>4</Pages>
  <Words>932</Words>
  <Characters>1095</Characters>
  <Lines>0</Lines>
  <Paragraphs>0</Paragraphs>
  <TotalTime>13</TotalTime>
  <ScaleCrop>false</ScaleCrop>
  <LinksUpToDate>false</LinksUpToDate>
  <CharactersWithSpaces>1123</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2023-01-04T08:47:00Z</dcterms:created>
  <dc:creator>陈丽格</dc:creator>
  <cp:lastModifiedBy>陈丽格</cp:lastModifiedBy>
  <cp:lastPrinted>2026-03-26T08:07:00Z</cp:lastPrinted>
  <dcterms:modified xsi:type="dcterms:W3CDTF">2026-03-27T08:08:00Z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B43E88A0E8674264A330C0FCA9AB2F57</vt:lpwstr>
  </property>
</Properties>
</file>